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289F">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14475" cy="1133475"/>
            <wp:effectExtent l="0" t="0" r="9525" b="9525"/>
            <wp:docPr id="1" name="Picture 1" descr="Description: Description: Description: ЗАРИМ ГАЗАР НУТГИЙГ УЛСЫН ТУСГАЙ ХАМГААЛАЛТАД АВ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ЗАРИМ ГАЗАР НУТГИЙГ УЛСЫН ТУСГАЙ ХАМГААЛАЛТАД АВ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14475" cy="1133475"/>
                    </a:xfrm>
                    <a:prstGeom prst="rect">
                      <a:avLst/>
                    </a:prstGeom>
                    <a:noFill/>
                    <a:ln>
                      <a:noFill/>
                    </a:ln>
                  </pic:spPr>
                </pic:pic>
              </a:graphicData>
            </a:graphic>
          </wp:inline>
        </w:drawing>
      </w:r>
    </w:p>
    <w:p w:rsidR="00000000" w:rsidRDefault="00DE289F">
      <w:pPr>
        <w:spacing w:line="360" w:lineRule="auto"/>
        <w:jc w:val="center"/>
        <w:divId w:val="120902635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ИХ ХУРЛЫН ТОГТООЛ</w:t>
      </w:r>
    </w:p>
    <w:p w:rsidR="00000000" w:rsidRDefault="00DE289F">
      <w:pPr>
        <w:spacing w:line="360" w:lineRule="auto"/>
        <w:jc w:val="center"/>
        <w:divId w:val="1209026350"/>
        <w:rPr>
          <w:rFonts w:ascii="Times New Roman" w:eastAsia="Times New Roman" w:hAnsi="Times New Roman"/>
          <w:b/>
          <w:bCs/>
          <w:sz w:val="24"/>
          <w:szCs w:val="24"/>
          <w:lang w:val="mn-MN"/>
        </w:rPr>
      </w:pPr>
    </w:p>
    <w:p w:rsidR="00000000" w:rsidRDefault="00DE289F">
      <w:pPr>
        <w:spacing w:line="360" w:lineRule="auto"/>
        <w:divId w:val="1209026350"/>
        <w:rPr>
          <w:rStyle w:val="Emphasis"/>
        </w:rPr>
      </w:pPr>
      <w:r>
        <w:rPr>
          <w:rStyle w:val="Emphasis"/>
          <w:rFonts w:eastAsia="Times New Roman"/>
          <w:bCs/>
          <w:sz w:val="24"/>
          <w:szCs w:val="24"/>
          <w:lang w:val="mn-MN"/>
        </w:rPr>
        <w:t>2003 оны 06 дугаар </w:t>
      </w:r>
    </w:p>
    <w:p w:rsidR="00000000" w:rsidRDefault="00DE289F">
      <w:pPr>
        <w:spacing w:line="360" w:lineRule="auto"/>
        <w:divId w:val="1209026350"/>
        <w:rPr>
          <w:rFonts w:ascii="Times New Roman" w:hAnsi="Times New Roman"/>
        </w:rPr>
      </w:pPr>
      <w:r>
        <w:rPr>
          <w:rStyle w:val="Emphasis"/>
          <w:rFonts w:eastAsia="Times New Roman"/>
          <w:bCs/>
          <w:sz w:val="24"/>
          <w:szCs w:val="24"/>
          <w:lang w:val="mn-MN"/>
        </w:rPr>
        <w:t>сарын 19-ний өдөр                                                                                     Улаанбаатар  хот</w:t>
      </w:r>
    </w:p>
    <w:p w:rsidR="00000000" w:rsidRDefault="00DE289F">
      <w:pPr>
        <w:spacing w:line="360" w:lineRule="auto"/>
        <w:jc w:val="both"/>
        <w:divId w:val="1209026350"/>
        <w:rPr>
          <w:rStyle w:val="Emphasis"/>
          <w:b/>
        </w:rPr>
      </w:pPr>
    </w:p>
    <w:p w:rsidR="00000000" w:rsidRDefault="00DE289F">
      <w:pPr>
        <w:spacing w:line="360" w:lineRule="auto"/>
        <w:jc w:val="center"/>
        <w:divId w:val="1209026350"/>
        <w:rPr>
          <w:rStyle w:val="Emphasis"/>
          <w:rFonts w:eastAsia="Times New Roman"/>
          <w:b/>
          <w:bCs/>
          <w:i w:val="0"/>
          <w:sz w:val="24"/>
          <w:szCs w:val="24"/>
          <w:lang w:val="mn-MN"/>
        </w:rPr>
      </w:pPr>
      <w:r>
        <w:rPr>
          <w:rStyle w:val="Emphasis"/>
          <w:rFonts w:eastAsia="Times New Roman"/>
          <w:b/>
          <w:bCs/>
          <w:i w:val="0"/>
          <w:sz w:val="24"/>
          <w:szCs w:val="24"/>
          <w:lang w:val="mn-MN"/>
        </w:rPr>
        <w:t>Дугаар  30</w:t>
      </w:r>
    </w:p>
    <w:p w:rsidR="00000000" w:rsidRDefault="00DE289F">
      <w:pPr>
        <w:spacing w:line="360" w:lineRule="auto"/>
        <w:jc w:val="center"/>
        <w:divId w:val="1209026350"/>
        <w:rPr>
          <w:rFonts w:ascii="Times New Roman" w:hAnsi="Times New Roman"/>
        </w:rPr>
      </w:pPr>
    </w:p>
    <w:p w:rsidR="00000000" w:rsidRDefault="00DE289F">
      <w:pPr>
        <w:tabs>
          <w:tab w:val="right" w:pos="9071"/>
        </w:tabs>
        <w:spacing w:line="360" w:lineRule="auto"/>
        <w:jc w:val="center"/>
        <w:divId w:val="1209026350"/>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 xml:space="preserve">Зарим газар нутгийг улсын </w:t>
      </w:r>
      <w:r>
        <w:rPr>
          <w:rFonts w:ascii="Times New Roman" w:eastAsia="Times New Roman" w:hAnsi="Times New Roman"/>
          <w:b/>
          <w:bCs/>
          <w:caps/>
          <w:sz w:val="24"/>
          <w:szCs w:val="24"/>
          <w:lang w:val="mn-MN"/>
        </w:rPr>
        <w:t>тусгай </w:t>
      </w:r>
    </w:p>
    <w:p w:rsidR="00000000" w:rsidRDefault="00DE289F">
      <w:pPr>
        <w:tabs>
          <w:tab w:val="right" w:pos="9071"/>
        </w:tabs>
        <w:spacing w:line="360" w:lineRule="auto"/>
        <w:jc w:val="center"/>
        <w:divId w:val="1209026350"/>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хамгаалалтад авах тухай</w:t>
      </w:r>
    </w:p>
    <w:p w:rsidR="00000000" w:rsidRDefault="00DE289F">
      <w:pPr>
        <w:tabs>
          <w:tab w:val="right" w:pos="9071"/>
        </w:tabs>
        <w:spacing w:line="360" w:lineRule="auto"/>
        <w:jc w:val="center"/>
        <w:divId w:val="1209026350"/>
        <w:rPr>
          <w:rFonts w:ascii="Times New Roman" w:eastAsia="Times New Roman" w:hAnsi="Times New Roman"/>
          <w:b/>
          <w:bCs/>
          <w:caps/>
          <w:sz w:val="24"/>
          <w:szCs w:val="24"/>
          <w:lang w:val="mn-MN"/>
        </w:rPr>
      </w:pPr>
    </w:p>
    <w:p w:rsidR="00000000" w:rsidRDefault="00DE289F">
      <w:pPr>
        <w:spacing w:line="360" w:lineRule="auto"/>
        <w:jc w:val="both"/>
        <w:divId w:val="1209026350"/>
        <w:rPr>
          <w:rFonts w:ascii="Times New Roman" w:eastAsia="Times New Roman" w:hAnsi="Times New Roman"/>
          <w:bCs/>
          <w:sz w:val="24"/>
          <w:szCs w:val="24"/>
          <w:lang w:val="mn-MN"/>
        </w:rPr>
      </w:pPr>
      <w:r>
        <w:rPr>
          <w:rFonts w:ascii="Times New Roman" w:eastAsia="Times New Roman" w:hAnsi="Times New Roman"/>
          <w:b/>
          <w:bCs/>
          <w:sz w:val="24"/>
          <w:szCs w:val="24"/>
          <w:lang w:val="mn-MN"/>
        </w:rPr>
        <w:t xml:space="preserve">            </w:t>
      </w:r>
      <w:r>
        <w:rPr>
          <w:rFonts w:ascii="Times New Roman" w:eastAsia="Times New Roman" w:hAnsi="Times New Roman"/>
          <w:bCs/>
          <w:sz w:val="24"/>
          <w:szCs w:val="24"/>
          <w:lang w:val="mn-MN"/>
        </w:rPr>
        <w:t>Тусгай хамгаалалттай газар нутгийн тухай хуулийн 25 дугаар зүйлийн 2-т заасныг үндэслэн Монгол Улсын Их Хурлаас ТОГТООХ нь:</w:t>
      </w:r>
    </w:p>
    <w:p w:rsidR="00000000" w:rsidRDefault="00DE289F">
      <w:pPr>
        <w:pStyle w:val="NormalWeb"/>
        <w:spacing w:before="0" w:beforeAutospacing="0" w:after="0" w:afterAutospacing="0" w:line="360" w:lineRule="auto"/>
        <w:ind w:firstLine="720"/>
        <w:jc w:val="both"/>
        <w:divId w:val="1209026350"/>
        <w:rPr>
          <w:lang w:val="mn-MN"/>
        </w:rPr>
      </w:pPr>
      <w:r>
        <w:rPr>
          <w:lang w:val="mn-MN"/>
        </w:rPr>
        <w:t>            1.Байгаль орчны тэнцэл, унаган төрхийг хадгалахад болон байгалийн аялал жуу</w:t>
      </w:r>
      <w:r>
        <w:rPr>
          <w:lang w:val="mn-MN"/>
        </w:rPr>
        <w:t>лчлалыг хөгжүүлэхэд ач холбогдол бүхий зарим газар нутгийг дор дурдсан ангиллаар улсын тусгай хамгаалалтад авахаар тогтоосугай:</w:t>
      </w:r>
    </w:p>
    <w:p w:rsidR="00000000" w:rsidRDefault="00DE289F">
      <w:pPr>
        <w:pStyle w:val="NormalWeb"/>
        <w:spacing w:before="0" w:beforeAutospacing="0" w:after="0" w:afterAutospacing="0" w:line="360" w:lineRule="auto"/>
        <w:ind w:firstLine="1440"/>
        <w:jc w:val="both"/>
        <w:divId w:val="1209026350"/>
        <w:rPr>
          <w:lang w:val="mn-MN"/>
        </w:rPr>
      </w:pPr>
      <w:r>
        <w:rPr>
          <w:lang w:val="mn-MN"/>
        </w:rPr>
        <w:t>       </w:t>
      </w:r>
      <w:r>
        <w:rPr>
          <w:strike/>
          <w:lang w:val="mn-MN"/>
        </w:rPr>
        <w:t>1/Хөвсгөл аймгийн Улаан-Уул, Баянзүрх сумын зарим хэсгийг хамарсан Улаан тайгын Бүрэлгээний нуруу, Хар нуурын нуруу, Нари</w:t>
      </w:r>
      <w:r>
        <w:rPr>
          <w:strike/>
          <w:lang w:val="mn-MN"/>
        </w:rPr>
        <w:t>йны нуруу, Барлин нуур, Буриадын голын эх орчмын газар нутгийг байгалийн цогцолборт газрын ангиллаар;</w:t>
      </w:r>
    </w:p>
    <w:p w:rsidR="00000000" w:rsidRDefault="00DE289F">
      <w:pPr>
        <w:pStyle w:val="NormalWeb"/>
        <w:spacing w:before="0" w:beforeAutospacing="0" w:after="0" w:afterAutospacing="0" w:line="360" w:lineRule="auto"/>
        <w:ind w:firstLine="720"/>
        <w:jc w:val="both"/>
        <w:divId w:val="1209026350"/>
        <w:rPr>
          <w:lang w:val="mn-MN"/>
        </w:rPr>
      </w:pPr>
      <w:hyperlink r:id="rId6" w:history="1">
        <w:r>
          <w:rPr>
            <w:rStyle w:val="Hyperlink"/>
            <w:i/>
            <w:iCs/>
            <w:lang w:val="mn-MN"/>
          </w:rPr>
          <w:t>/Энэ заалтыг 2011 оны 05 дугаар сарын 05-ны өдрийн 18 дугаа</w:t>
        </w:r>
        <w:r>
          <w:rPr>
            <w:rStyle w:val="Hyperlink"/>
            <w:i/>
            <w:iCs/>
            <w:lang w:val="mn-MN"/>
          </w:rPr>
          <w:t>р тогтоолоор хүчингүй болсонд тооцсон/</w:t>
        </w:r>
      </w:hyperlink>
    </w:p>
    <w:p w:rsidR="00000000" w:rsidRDefault="00DE289F">
      <w:pPr>
        <w:pStyle w:val="NormalWeb"/>
        <w:spacing w:before="0" w:beforeAutospacing="0" w:after="0" w:afterAutospacing="0" w:line="360" w:lineRule="auto"/>
        <w:ind w:firstLine="1440"/>
        <w:jc w:val="both"/>
        <w:divId w:val="1209026350"/>
        <w:rPr>
          <w:lang w:val="mn-MN"/>
        </w:rPr>
      </w:pPr>
      <w:r>
        <w:rPr>
          <w:lang w:val="mn-MN"/>
        </w:rPr>
        <w:t xml:space="preserve">        2/Булган аймгийн Хутаг-Өндөр, Хөвсгөл аймгийн Тариалан сумын хилийн заагт орших Намнан уул, Булган аймгийн Бугат сумын нутагт орших Хан Жаргалант уул, </w:t>
      </w:r>
      <w:r>
        <w:rPr>
          <w:strike/>
          <w:lang w:val="mn-MN"/>
        </w:rPr>
        <w:t>Дундговь аймгийн Гурвансайхан, Говь-Угтаал сумын хилийн за</w:t>
      </w:r>
      <w:r>
        <w:rPr>
          <w:strike/>
          <w:lang w:val="mn-MN"/>
        </w:rPr>
        <w:t>агт орших Их газрын чулуу орчмын газар нутгийг байгалийн нөөц газрын ангиллаар</w:t>
      </w:r>
      <w:r>
        <w:rPr>
          <w:lang w:val="mn-MN"/>
        </w:rPr>
        <w:t>.</w:t>
      </w:r>
    </w:p>
    <w:p w:rsidR="00000000" w:rsidRDefault="00DE289F">
      <w:pPr>
        <w:pStyle w:val="NormalWeb"/>
        <w:spacing w:before="0" w:beforeAutospacing="0" w:after="0" w:afterAutospacing="0" w:line="360" w:lineRule="auto"/>
        <w:ind w:firstLine="720"/>
        <w:jc w:val="both"/>
        <w:divId w:val="1209026350"/>
        <w:rPr>
          <w:lang w:val="mn-MN"/>
        </w:rPr>
      </w:pPr>
      <w:hyperlink r:id="rId7" w:history="1">
        <w:r>
          <w:rPr>
            <w:rStyle w:val="Hyperlink"/>
            <w:i/>
            <w:iCs/>
            <w:lang w:val="mn-MN"/>
          </w:rPr>
          <w:t>/Энэ заалтын зарим хэсгийг 2012 оны 05 дугаар сарын 23-ны өдрийн 57 дугаар тогтооло</w:t>
        </w:r>
        <w:r>
          <w:rPr>
            <w:rStyle w:val="Hyperlink"/>
            <w:i/>
            <w:iCs/>
            <w:lang w:val="mn-MN"/>
          </w:rPr>
          <w:t>ор хүчингүй болсонд тооцсон/</w:t>
        </w:r>
      </w:hyperlink>
    </w:p>
    <w:p w:rsidR="00000000" w:rsidRDefault="00DE289F">
      <w:pPr>
        <w:pStyle w:val="NormalWeb"/>
        <w:spacing w:before="0" w:beforeAutospacing="0" w:after="0" w:afterAutospacing="0" w:line="360" w:lineRule="auto"/>
        <w:ind w:firstLine="720"/>
        <w:jc w:val="both"/>
        <w:divId w:val="1209026350"/>
        <w:rPr>
          <w:lang w:val="mn-MN"/>
        </w:rPr>
      </w:pPr>
      <w:r>
        <w:rPr>
          <w:lang w:val="mn-MN"/>
        </w:rPr>
        <w:lastRenderedPageBreak/>
        <w:t>            2.Байгалийн бүс, бүслүүрийн хэв шинжийг төлөөлж чадах ховор амьтан, ургамлын байршил, түүх, соёлын дурсгал бүхий нутаг Хөгнөхааны байгалийн нөөц газрын хилийн заагийг Тарна гол, Монгол элс, Их, Бага Монгол уул орчмы</w:t>
      </w:r>
      <w:r>
        <w:rPr>
          <w:lang w:val="mn-MN"/>
        </w:rPr>
        <w:t>н газар нутгаар өргөтгөн Хөгнө-Тарнын байгалийн цогцолборт газар болгон өөрчилсүгэй.</w:t>
      </w:r>
    </w:p>
    <w:p w:rsidR="00000000" w:rsidRDefault="00DE289F">
      <w:pPr>
        <w:pStyle w:val="NormalWeb"/>
        <w:spacing w:before="0" w:beforeAutospacing="0" w:after="0" w:afterAutospacing="0" w:line="360" w:lineRule="auto"/>
        <w:ind w:firstLine="720"/>
        <w:jc w:val="both"/>
        <w:divId w:val="1209026350"/>
        <w:rPr>
          <w:lang w:val="mn-MN"/>
        </w:rPr>
      </w:pPr>
      <w:r>
        <w:rPr>
          <w:lang w:val="mn-MN"/>
        </w:rPr>
        <w:t xml:space="preserve">            </w:t>
      </w:r>
      <w:r>
        <w:t>3</w:t>
      </w:r>
      <w:r>
        <w:rPr>
          <w:lang w:val="mn-MN"/>
        </w:rPr>
        <w:t>.Хөгнө-Тарнын байгалийн цогцолборт газрын шинэчилсэн хилийн заагийг хавсралтаар баталсугай.</w:t>
      </w:r>
    </w:p>
    <w:p w:rsidR="00000000" w:rsidRDefault="00DE289F">
      <w:pPr>
        <w:pStyle w:val="NormalWeb"/>
        <w:spacing w:before="0" w:beforeAutospacing="0" w:after="0" w:afterAutospacing="0" w:line="360" w:lineRule="auto"/>
        <w:ind w:firstLine="720"/>
        <w:jc w:val="both"/>
        <w:divId w:val="1209026350"/>
        <w:rPr>
          <w:lang w:val="mn-MN"/>
        </w:rPr>
      </w:pPr>
      <w:hyperlink r:id="rId8" w:history="1">
        <w:r>
          <w:rPr>
            <w:rStyle w:val="Hyperlink"/>
            <w:i/>
            <w:iCs/>
            <w:lang w:val="mn-MN"/>
          </w:rPr>
          <w:t>/Энэ заалтад 2011 оны 05 дугаар сарын 05-ны өдрийн 18 дугаар тогтоолоор өөрчлөлт оруулсан/</w:t>
        </w:r>
      </w:hyperlink>
    </w:p>
    <w:p w:rsidR="00000000" w:rsidRDefault="00DE289F">
      <w:pPr>
        <w:pStyle w:val="NormalWeb"/>
        <w:spacing w:before="0" w:beforeAutospacing="0" w:after="0" w:afterAutospacing="0" w:line="360" w:lineRule="auto"/>
        <w:ind w:firstLine="720"/>
        <w:jc w:val="both"/>
        <w:divId w:val="1209026350"/>
        <w:rPr>
          <w:lang w:val="mn-MN"/>
        </w:rPr>
      </w:pPr>
      <w:r>
        <w:rPr>
          <w:lang w:val="mn-MN"/>
        </w:rPr>
        <w:t>            4.Энэ тогтоол гарсантай холбогдуулан “Зарим газар нутгийг улсын тусгай хамгаалалтад авах тухай” Улсын Их Хурлын 1997 оны 6 д</w:t>
      </w:r>
      <w:r>
        <w:rPr>
          <w:lang w:val="mn-MN"/>
        </w:rPr>
        <w:t>угаар сарын 13-ны өдрийн 47 дугаар тогтоолын 1 дэх заалтаас “Булган аймгийн Гурванбулаг, Рашаант сумын хилийн зааг дахь Хөгнөхаан уулын орчмыг хамарсан газар нутгийг байгалийн нөөц газрын ангиллаар” гэсэн хэсгийг хүчингүй болсонд тооцсугай.</w:t>
      </w: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pPr>
    </w:p>
    <w:p w:rsidR="00000000" w:rsidRDefault="00DE289F">
      <w:pPr>
        <w:pStyle w:val="NormalWeb"/>
        <w:spacing w:before="0" w:beforeAutospacing="0" w:after="0" w:afterAutospacing="0" w:line="360" w:lineRule="auto"/>
        <w:jc w:val="both"/>
        <w:divId w:val="1209026350"/>
        <w:rPr>
          <w:lang w:val="mn-MN"/>
        </w:rPr>
      </w:pPr>
      <w:r>
        <w:rPr>
          <w:lang w:val="mn-MN"/>
        </w:rPr>
        <w:t xml:space="preserve">МОНГОЛ УЛСЫН </w:t>
      </w:r>
    </w:p>
    <w:p w:rsidR="00000000" w:rsidRDefault="00DE289F">
      <w:pPr>
        <w:pStyle w:val="NormalWeb"/>
        <w:spacing w:before="0" w:beforeAutospacing="0" w:after="0" w:afterAutospacing="0" w:line="360" w:lineRule="auto"/>
        <w:jc w:val="both"/>
        <w:divId w:val="1209026350"/>
        <w:rPr>
          <w:lang w:val="mn-MN"/>
        </w:rPr>
      </w:pPr>
      <w:r>
        <w:rPr>
          <w:lang w:val="mn-MN"/>
        </w:rPr>
        <w:t>ИХ ХУРЛЫН ДАРГА                                                         С.ТӨМӨР-ОЧИР</w:t>
      </w:r>
    </w:p>
    <w:p w:rsidR="00000000" w:rsidRDefault="00DE289F">
      <w:pPr>
        <w:pStyle w:val="NormalWeb"/>
        <w:spacing w:before="0" w:beforeAutospacing="0" w:after="0" w:afterAutospacing="0" w:line="360" w:lineRule="auto"/>
        <w:ind w:firstLine="720"/>
        <w:jc w:val="both"/>
        <w:divId w:val="1209026350"/>
        <w:rPr>
          <w:lang w:val="mn-MN"/>
        </w:rPr>
      </w:pPr>
    </w:p>
    <w:p w:rsidR="00000000" w:rsidRDefault="00DE289F">
      <w:pPr>
        <w:pStyle w:val="NormalWeb"/>
        <w:spacing w:before="0" w:beforeAutospacing="0" w:after="0" w:afterAutospacing="0" w:line="360" w:lineRule="auto"/>
        <w:ind w:firstLine="720"/>
        <w:jc w:val="both"/>
        <w:divId w:val="1209026350"/>
        <w:rPr>
          <w:lang w:val="mn-MN"/>
        </w:rPr>
      </w:pPr>
    </w:p>
    <w:p w:rsidR="00000000" w:rsidRDefault="00DE289F">
      <w:pPr>
        <w:pStyle w:val="NormalWeb"/>
        <w:spacing w:before="0" w:beforeAutospacing="0" w:after="0" w:afterAutospacing="0" w:line="360" w:lineRule="auto"/>
        <w:ind w:firstLine="720"/>
        <w:jc w:val="both"/>
        <w:divId w:val="1209026350"/>
      </w:pPr>
    </w:p>
    <w:p w:rsidR="00000000" w:rsidRDefault="00DE289F">
      <w:pPr>
        <w:pStyle w:val="NormalWeb"/>
        <w:spacing w:before="0" w:beforeAutospacing="0" w:after="0" w:afterAutospacing="0" w:line="360" w:lineRule="auto"/>
        <w:ind w:firstLine="720"/>
        <w:jc w:val="both"/>
        <w:divId w:val="1209026350"/>
      </w:pPr>
    </w:p>
    <w:p w:rsidR="00000000" w:rsidRDefault="00DE289F">
      <w:pPr>
        <w:pStyle w:val="NormalWeb"/>
        <w:spacing w:before="0" w:beforeAutospacing="0" w:after="0" w:afterAutospacing="0" w:line="360" w:lineRule="auto"/>
        <w:ind w:firstLine="720"/>
        <w:jc w:val="both"/>
        <w:divId w:val="1209026350"/>
      </w:pPr>
    </w:p>
    <w:p w:rsidR="00000000" w:rsidRDefault="00DE289F">
      <w:pPr>
        <w:pStyle w:val="NormalWeb"/>
        <w:spacing w:before="0" w:beforeAutospacing="0" w:after="0" w:afterAutospacing="0" w:line="360" w:lineRule="auto"/>
        <w:ind w:firstLine="720"/>
        <w:jc w:val="both"/>
        <w:divId w:val="1209026350"/>
      </w:pPr>
    </w:p>
    <w:p w:rsidR="00000000" w:rsidRDefault="00DE289F">
      <w:pPr>
        <w:pStyle w:val="NormalWeb"/>
        <w:spacing w:before="0" w:beforeAutospacing="0" w:after="0" w:afterAutospacing="0" w:line="360" w:lineRule="auto"/>
        <w:ind w:firstLine="720"/>
        <w:jc w:val="both"/>
        <w:divId w:val="1209026350"/>
      </w:pPr>
    </w:p>
    <w:p w:rsidR="00000000" w:rsidRDefault="00DE289F">
      <w:pPr>
        <w:pStyle w:val="NormalWeb"/>
        <w:spacing w:before="0" w:beforeAutospacing="0" w:after="0" w:afterAutospacing="0" w:line="360" w:lineRule="auto"/>
        <w:ind w:firstLine="720"/>
        <w:jc w:val="both"/>
        <w:divId w:val="1209026350"/>
      </w:pPr>
    </w:p>
    <w:p w:rsidR="00000000" w:rsidRDefault="00DE289F">
      <w:pPr>
        <w:pStyle w:val="NormalWeb"/>
        <w:spacing w:before="0" w:beforeAutospacing="0" w:after="0" w:afterAutospacing="0" w:line="360" w:lineRule="auto"/>
        <w:ind w:firstLine="720"/>
        <w:jc w:val="both"/>
        <w:divId w:val="1209026350"/>
      </w:pPr>
    </w:p>
    <w:p w:rsidR="00000000" w:rsidRDefault="00DE289F">
      <w:pPr>
        <w:pStyle w:val="NormalWeb"/>
        <w:spacing w:before="0" w:beforeAutospacing="0" w:after="0" w:afterAutospacing="0" w:line="360" w:lineRule="auto"/>
        <w:ind w:firstLine="720"/>
        <w:jc w:val="both"/>
        <w:divId w:val="1209026350"/>
      </w:pPr>
    </w:p>
    <w:p w:rsidR="00000000" w:rsidRDefault="00DE289F">
      <w:pPr>
        <w:spacing w:line="360" w:lineRule="auto"/>
        <w:jc w:val="right"/>
        <w:divId w:val="1209026350"/>
        <w:rPr>
          <w:rFonts w:ascii="Times New Roman" w:eastAsia="Times New Roman" w:hAnsi="Times New Roman"/>
          <w:i/>
          <w:sz w:val="24"/>
          <w:szCs w:val="24"/>
          <w:lang w:val="mn-MN"/>
        </w:rPr>
      </w:pPr>
      <w:r>
        <w:rPr>
          <w:rFonts w:ascii="Times New Roman" w:eastAsia="Times New Roman" w:hAnsi="Times New Roman"/>
          <w:i/>
          <w:sz w:val="24"/>
          <w:szCs w:val="24"/>
          <w:lang w:val="mn-MN"/>
        </w:rPr>
        <w:t>Монгол Улсын Их Хурлын 2003 оны</w:t>
      </w:r>
    </w:p>
    <w:p w:rsidR="00000000" w:rsidRDefault="00DE289F">
      <w:pPr>
        <w:spacing w:line="360" w:lineRule="auto"/>
        <w:jc w:val="right"/>
        <w:divId w:val="1209026350"/>
        <w:rPr>
          <w:rFonts w:ascii="Times New Roman" w:eastAsia="Times New Roman" w:hAnsi="Times New Roman"/>
          <w:i/>
          <w:sz w:val="24"/>
          <w:szCs w:val="24"/>
          <w:lang w:val="mn-MN"/>
        </w:rPr>
      </w:pPr>
      <w:r>
        <w:rPr>
          <w:rFonts w:ascii="Times New Roman" w:eastAsia="Times New Roman" w:hAnsi="Times New Roman"/>
          <w:i/>
          <w:sz w:val="24"/>
          <w:szCs w:val="24"/>
          <w:lang w:val="mn-MN"/>
        </w:rPr>
        <w:t>30 дугаар тогтоолын хавсралт</w:t>
      </w:r>
    </w:p>
    <w:p w:rsidR="00000000" w:rsidRDefault="00DE289F">
      <w:pPr>
        <w:spacing w:line="360" w:lineRule="auto"/>
        <w:jc w:val="both"/>
        <w:divId w:val="120902635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E289F">
      <w:pPr>
        <w:spacing w:line="360" w:lineRule="auto"/>
        <w:jc w:val="center"/>
        <w:divId w:val="1209026350"/>
        <w:rPr>
          <w:rFonts w:ascii="Times New Roman" w:eastAsia="Times New Roman" w:hAnsi="Times New Roman"/>
          <w:b/>
          <w:bCs/>
          <w:sz w:val="24"/>
          <w:szCs w:val="24"/>
        </w:rPr>
      </w:pPr>
      <w:r>
        <w:rPr>
          <w:rFonts w:ascii="Times New Roman" w:eastAsia="Times New Roman" w:hAnsi="Times New Roman"/>
          <w:b/>
          <w:bCs/>
          <w:sz w:val="24"/>
          <w:szCs w:val="24"/>
          <w:lang w:val="mn-MN"/>
        </w:rPr>
        <w:t>УЛААН ТАЙГЫН БОЛОН ХӨГНӨ-ТАРНЫН БАЙГАЛИЙН</w:t>
      </w:r>
    </w:p>
    <w:p w:rsidR="00000000" w:rsidRDefault="00DE289F">
      <w:pPr>
        <w:spacing w:line="360" w:lineRule="auto"/>
        <w:jc w:val="center"/>
        <w:divId w:val="1209026350"/>
        <w:rPr>
          <w:rFonts w:ascii="Times New Roman" w:eastAsia="Times New Roman" w:hAnsi="Times New Roman"/>
          <w:sz w:val="24"/>
          <w:szCs w:val="24"/>
          <w:lang w:val="mn-MN"/>
        </w:rPr>
      </w:pPr>
      <w:r>
        <w:rPr>
          <w:rFonts w:ascii="Times New Roman" w:eastAsia="Times New Roman" w:hAnsi="Times New Roman"/>
          <w:b/>
          <w:bCs/>
          <w:sz w:val="24"/>
          <w:szCs w:val="24"/>
          <w:lang w:val="mn-MN"/>
        </w:rPr>
        <w:t xml:space="preserve"> ЦОГЦОЛБОРТ ГАЗРЫН ХИЛИЙН ЗААГ</w:t>
      </w:r>
    </w:p>
    <w:p w:rsidR="00000000" w:rsidRDefault="00DE289F">
      <w:pPr>
        <w:spacing w:line="360" w:lineRule="auto"/>
        <w:jc w:val="both"/>
        <w:divId w:val="1209026350"/>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DE289F">
      <w:pPr>
        <w:spacing w:line="360" w:lineRule="auto"/>
        <w:ind w:firstLine="720"/>
        <w:jc w:val="both"/>
        <w:divId w:val="1209026350"/>
        <w:rPr>
          <w:rFonts w:ascii="Times New Roman" w:eastAsia="Times New Roman" w:hAnsi="Times New Roman"/>
          <w:sz w:val="24"/>
          <w:szCs w:val="24"/>
          <w:lang w:val="mn-MN"/>
        </w:rPr>
      </w:pPr>
      <w:r>
        <w:rPr>
          <w:rFonts w:ascii="Times New Roman" w:eastAsia="Times New Roman" w:hAnsi="Times New Roman"/>
          <w:b/>
          <w:bCs/>
          <w:sz w:val="24"/>
          <w:szCs w:val="24"/>
          <w:lang w:val="mn-MN"/>
        </w:rPr>
        <w:t>Нэг.Улаан тайгын байгалийн цогцолборт газрын хилийн зааг</w:t>
      </w:r>
    </w:p>
    <w:p w:rsidR="00000000" w:rsidRDefault="00DE289F">
      <w:pPr>
        <w:spacing w:line="360" w:lineRule="auto"/>
        <w:jc w:val="both"/>
        <w:divId w:val="1209026350"/>
        <w:rPr>
          <w:rFonts w:ascii="Times New Roman" w:eastAsia="Times New Roman" w:hAnsi="Times New Roman"/>
          <w:sz w:val="24"/>
          <w:szCs w:val="24"/>
        </w:rPr>
      </w:pPr>
      <w:r>
        <w:rPr>
          <w:rFonts w:ascii="Times New Roman" w:eastAsia="Times New Roman" w:hAnsi="Times New Roman"/>
          <w:sz w:val="24"/>
          <w:szCs w:val="24"/>
          <w:lang w:val="mn-MN"/>
        </w:rPr>
        <w:t xml:space="preserve">           </w:t>
      </w:r>
      <w:r>
        <w:rPr>
          <w:rFonts w:ascii="Times New Roman" w:eastAsia="Times New Roman" w:hAnsi="Times New Roman"/>
          <w:strike/>
          <w:sz w:val="24"/>
          <w:szCs w:val="24"/>
          <w:lang w:val="mn-MN"/>
        </w:rPr>
        <w:t>Баруун хойт захын цэг нь улсын хил дээр орших 2278.8 тоот, түүнээс хойш 2342.4 тоот, зүүн тийш 2349.2 тоот, зүүн урагш 2161.0 тоот, зүүн хойш 2411.0 тоот, зүүн урагш 2621.0 тоот, зүүн хойш</w:t>
      </w:r>
      <w:r>
        <w:rPr>
          <w:rFonts w:ascii="Times New Roman" w:eastAsia="Times New Roman" w:hAnsi="Times New Roman"/>
          <w:strike/>
          <w:sz w:val="24"/>
          <w:szCs w:val="24"/>
          <w:lang w:val="mn-MN"/>
        </w:rPr>
        <w:t xml:space="preserve"> орших нуурын урд эрэг дэх 2132.0 тоот, зүүн урагш 2692.7, 2616.4 тоотууд, баруун урагш 2415.9, 2548.9 тоотууд, зүүн урагш 2452.0, 2481.0 тоотууд, баруун урагш 2291.0 тоот, Дэлгэр мөрөн, Дээд хулгана голын уулзвар (1680.0) хүрнэ. Тэндээс баруун тийш Дэлгэр</w:t>
      </w:r>
      <w:r>
        <w:rPr>
          <w:rFonts w:ascii="Times New Roman" w:eastAsia="Times New Roman" w:hAnsi="Times New Roman"/>
          <w:strike/>
          <w:sz w:val="24"/>
          <w:szCs w:val="24"/>
          <w:lang w:val="mn-MN"/>
        </w:rPr>
        <w:t xml:space="preserve"> мөрнийг өгсөн Дэлгэр мөрөн, Цагаан голын уулзвар баруун урагш 2307.0, 2384.0 тоотууд, Буриадын голыг хөндлөн гарч, 2357.9 тоот, Хоромсогийн даваа (2278.0) 2405.1, 2449.0, 2458.1 тоотууд, баруун хойш орших Азаргын нуруу (2433.4), Тэрмэсийн даваа буюу улсын</w:t>
      </w:r>
      <w:r>
        <w:rPr>
          <w:rFonts w:ascii="Times New Roman" w:eastAsia="Times New Roman" w:hAnsi="Times New Roman"/>
          <w:strike/>
          <w:sz w:val="24"/>
          <w:szCs w:val="24"/>
          <w:lang w:val="mn-MN"/>
        </w:rPr>
        <w:t xml:space="preserve"> хил дээрх 2302.4 тоот, түүнээс хойш улсын хилээр дагасаар 2278.8 тоот.</w:t>
      </w:r>
    </w:p>
    <w:p w:rsidR="00000000" w:rsidRDefault="00DE289F">
      <w:pPr>
        <w:spacing w:line="360" w:lineRule="auto"/>
        <w:ind w:firstLine="720"/>
        <w:jc w:val="both"/>
        <w:divId w:val="1209026350"/>
        <w:rPr>
          <w:rFonts w:ascii="Times New Roman" w:eastAsia="Times New Roman" w:hAnsi="Times New Roman"/>
          <w:sz w:val="24"/>
          <w:szCs w:val="24"/>
          <w:lang w:val="mn-MN"/>
        </w:rPr>
      </w:pPr>
      <w:hyperlink r:id="rId9" w:history="1">
        <w:r>
          <w:rPr>
            <w:rStyle w:val="Hyperlink"/>
            <w:rFonts w:ascii="Times New Roman" w:eastAsia="Times New Roman" w:hAnsi="Times New Roman"/>
            <w:sz w:val="24"/>
            <w:szCs w:val="24"/>
            <w:lang w:val="mn-MN"/>
          </w:rPr>
          <w:t xml:space="preserve">/Энэ хэсгийг 2011 оны 05 дугаар сарын 05-ны өдрийн 18 дугаар тогтоолоор хүчингүй болсонд </w:t>
        </w:r>
        <w:r>
          <w:rPr>
            <w:rStyle w:val="Hyperlink"/>
            <w:rFonts w:ascii="Times New Roman" w:eastAsia="Times New Roman" w:hAnsi="Times New Roman"/>
            <w:sz w:val="24"/>
            <w:szCs w:val="24"/>
            <w:lang w:val="mn-MN"/>
          </w:rPr>
          <w:t>тооцсон/</w:t>
        </w:r>
      </w:hyperlink>
    </w:p>
    <w:p w:rsidR="00000000" w:rsidRDefault="00DE289F">
      <w:pPr>
        <w:spacing w:line="360" w:lineRule="auto"/>
        <w:jc w:val="both"/>
        <w:divId w:val="1209026350"/>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E289F">
      <w:pPr>
        <w:spacing w:line="360" w:lineRule="auto"/>
        <w:ind w:firstLine="720"/>
        <w:jc w:val="both"/>
        <w:divId w:val="1209026350"/>
        <w:rPr>
          <w:rFonts w:ascii="Times New Roman" w:eastAsia="Times New Roman" w:hAnsi="Times New Roman"/>
          <w:sz w:val="24"/>
          <w:szCs w:val="24"/>
        </w:rPr>
      </w:pPr>
      <w:r>
        <w:rPr>
          <w:rFonts w:ascii="Times New Roman" w:eastAsia="Times New Roman" w:hAnsi="Times New Roman"/>
          <w:b/>
          <w:bCs/>
          <w:sz w:val="24"/>
          <w:szCs w:val="24"/>
          <w:lang w:val="mn-MN"/>
        </w:rPr>
        <w:t>Хоёр. Хөгнө-Тарнын байгалийн цогцолборт</w:t>
      </w:r>
      <w:r>
        <w:rPr>
          <w:rFonts w:ascii="Times New Roman" w:eastAsia="Times New Roman" w:hAnsi="Times New Roman"/>
          <w:sz w:val="24"/>
          <w:szCs w:val="24"/>
          <w:lang w:val="mn-MN"/>
        </w:rPr>
        <w:t xml:space="preserve"> </w:t>
      </w:r>
      <w:r>
        <w:rPr>
          <w:rFonts w:ascii="Times New Roman" w:eastAsia="Times New Roman" w:hAnsi="Times New Roman"/>
          <w:b/>
          <w:bCs/>
          <w:sz w:val="24"/>
          <w:szCs w:val="24"/>
          <w:lang w:val="mn-MN"/>
        </w:rPr>
        <w:t>газрын хилийн зааг</w:t>
      </w:r>
    </w:p>
    <w:p w:rsidR="00DE289F" w:rsidRDefault="00DE289F">
      <w:pPr>
        <w:spacing w:line="360" w:lineRule="auto"/>
        <w:ind w:firstLine="720"/>
        <w:jc w:val="both"/>
        <w:divId w:val="1209026350"/>
        <w:rPr>
          <w:rFonts w:ascii="Times New Roman" w:hAnsi="Times New Roman"/>
          <w:sz w:val="24"/>
          <w:szCs w:val="24"/>
          <w:lang w:val="mn-MN"/>
        </w:rPr>
      </w:pPr>
      <w:r>
        <w:rPr>
          <w:rFonts w:ascii="Times New Roman" w:eastAsia="Times New Roman" w:hAnsi="Times New Roman"/>
          <w:sz w:val="24"/>
          <w:szCs w:val="24"/>
          <w:lang w:val="mn-MN"/>
        </w:rPr>
        <w:t>Баруун хойт захын цэг нь Гурванбулаг сумын хуучин төвөөс урагш орших баян уулын орой, зүүн хойш 1246.8, 1327.0 тоотууд, зүүн урагш 1488.5 тоот, зүүн хойш Гурванбулаг, Дашинчилэн сумдын х</w:t>
      </w:r>
      <w:r>
        <w:rPr>
          <w:rFonts w:ascii="Times New Roman" w:eastAsia="Times New Roman" w:hAnsi="Times New Roman"/>
          <w:sz w:val="24"/>
          <w:szCs w:val="24"/>
          <w:lang w:val="mn-MN"/>
        </w:rPr>
        <w:t>илийн заагт орших 1516.7 тоот, урагш Гурванбулаг, Дашинчилэн сумдын хилийн зааг даган 1386.2 тоот, баруун урагш 1386.5 тоот, 103046’30", 47026’50" солбилцлын цэг, Лүн толгой, зүүн урагш Таван цохио уул (1400.2), Үнэгт уул (1489.0), Булган, Өвөрхөнгай аймгу</w:t>
      </w:r>
      <w:r>
        <w:rPr>
          <w:rFonts w:ascii="Times New Roman" w:eastAsia="Times New Roman" w:hAnsi="Times New Roman"/>
          <w:sz w:val="24"/>
          <w:szCs w:val="24"/>
          <w:lang w:val="mn-MN"/>
        </w:rPr>
        <w:t>удын хилийн заагт орших Бага омбон цохио толгой, Цавчирт толгой (1424.7), 1358.0, 1455.9 тоотууд, Хавтгайн худаг (1508.0), баруун урагш Бага Монгол уул (1703.7), баруун тийш 1468.3 тоот, баруун хойш 103050’00", 47010’00" солбицлын цэг, Булган, Архангай Өвө</w:t>
      </w:r>
      <w:r>
        <w:rPr>
          <w:rFonts w:ascii="Times New Roman" w:eastAsia="Times New Roman" w:hAnsi="Times New Roman"/>
          <w:sz w:val="24"/>
          <w:szCs w:val="24"/>
          <w:lang w:val="mn-MN"/>
        </w:rPr>
        <w:t xml:space="preserve">рхангай аймгуудын хилийн уулзварт орших 1290.0 тоот, Булган, Архангай аймгуудын хилийн зааг даган Булган аймгийн Гурванбулаг, Рашаант сумдын хилийн зааг дээр орших Уулзвар хадан </w:t>
      </w:r>
      <w:r>
        <w:rPr>
          <w:rFonts w:ascii="Times New Roman" w:eastAsia="Times New Roman" w:hAnsi="Times New Roman"/>
          <w:sz w:val="24"/>
          <w:szCs w:val="24"/>
          <w:lang w:val="mn-MN"/>
        </w:rPr>
        <w:lastRenderedPageBreak/>
        <w:t xml:space="preserve">хошуу, Тарна голын баруун эрэг даган уруудсаар 1153.0 тоот хүрч, түүнээс зүүн </w:t>
      </w:r>
      <w:r>
        <w:rPr>
          <w:rFonts w:ascii="Times New Roman" w:eastAsia="Times New Roman" w:hAnsi="Times New Roman"/>
          <w:sz w:val="24"/>
          <w:szCs w:val="24"/>
          <w:lang w:val="mn-MN"/>
        </w:rPr>
        <w:t>хойш Баян уулын орой.</w:t>
      </w:r>
    </w:p>
    <w:sectPr w:rsidR="00DE289F">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65F12"/>
    <w:rsid w:val="00365F12"/>
    <w:rsid w:val="00DE2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263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BATBOLD\111\huuli%2009.01.12\MONGOLIAN%20LAW\UIKH-iin%20Togtool\2011\11-t-18.doc" TargetMode="External"/><Relationship Id="rId3" Type="http://schemas.openxmlformats.org/officeDocument/2006/relationships/settings" Target="settings.xml"/><Relationship Id="rId7" Type="http://schemas.openxmlformats.org/officeDocument/2006/relationships/hyperlink" Target="file:///C:\111\HTMBHuuliud.14.04.15\UIKH-iin%20Togtool\2012\12-t-57.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BATBOLD\111\huuli%2009.01.12\MONGOLIAN%20LAW\UIKH-iin%20Togtool\2011\11-t-18.doc" TargetMode="External"/><Relationship Id="rId11" Type="http://schemas.openxmlformats.org/officeDocument/2006/relationships/theme" Target="theme/theme1.xml"/><Relationship Id="rId5" Type="http://schemas.openxmlformats.org/officeDocument/2006/relationships/image" Target="http://www.legalinfo.mn/uploads/images/suld.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BATBOLD\111\huuli%2009.01.12\mongolian%20law\uikh-iin%20togtool\2011\11-t-1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2018-03-05T09:20:00Z</dcterms:created>
  <dcterms:modified xsi:type="dcterms:W3CDTF">2018-03-05T09:20:00Z</dcterms:modified>
</cp:coreProperties>
</file>