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5795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143000"/>
            <wp:effectExtent l="0" t="0" r="0" b="0"/>
            <wp:docPr id="1" name="Picture 1" descr="ТУСГАЙ ХАМГААЛАЛТТАЙ ГАЗАР НУТГИЙН ОРЧНЫ БҮСИЙН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СГАЙ ХАМГААЛАЛТТАЙ ГАЗАР НУТГИЙН ОРЧНЫ БҮСИЙН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D579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2D5795">
      <w:pPr>
        <w:jc w:val="center"/>
        <w:rPr>
          <w:rFonts w:ascii="Arial" w:eastAsia="Times New Roman" w:hAnsi="Arial" w:cs="Arial"/>
          <w:color w:val="275DFF"/>
          <w:sz w:val="32"/>
          <w:szCs w:val="32"/>
        </w:rPr>
      </w:pPr>
      <w:r>
        <w:rPr>
          <w:rStyle w:val="Strong"/>
          <w:rFonts w:ascii="Arial" w:eastAsia="Times New Roman" w:hAnsi="Arial" w:cs="Arial"/>
          <w:color w:val="275DFF"/>
          <w:sz w:val="32"/>
          <w:szCs w:val="32"/>
        </w:rPr>
        <w:t>МОНГОЛ УЛСЫН ХУУЛЬ</w:t>
      </w:r>
    </w:p>
    <w:p w:rsidR="00000000" w:rsidRDefault="002D5795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Default="002D579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1997 оны 10 дугаар сарын 23-ны өдөр</w:t>
            </w:r>
          </w:p>
        </w:tc>
        <w:tc>
          <w:tcPr>
            <w:tcW w:w="1650" w:type="pct"/>
            <w:vAlign w:val="center"/>
            <w:hideMark/>
          </w:tcPr>
          <w:p w:rsidR="00000000" w:rsidRDefault="002D57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Default="002D5795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2D5795">
      <w:pPr>
        <w:rPr>
          <w:rFonts w:ascii="Arial" w:eastAsia="Times New Roman" w:hAnsi="Arial" w:cs="Arial"/>
          <w:sz w:val="20"/>
          <w:szCs w:val="20"/>
        </w:rPr>
      </w:pPr>
    </w:p>
    <w:p w:rsidR="00000000" w:rsidRDefault="002D5795">
      <w:pPr>
        <w:jc w:val="center"/>
        <w:divId w:val="4148464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ТУСГАЙ ХАМГААЛАЛТТАЙ ГАЗАР НУТГИЙН ОРЧНЫ БҮСИЙН ТУХАЙ</w:t>
      </w:r>
    </w:p>
    <w:p w:rsidR="00000000" w:rsidRDefault="002D5795">
      <w:pPr>
        <w:pStyle w:val="msghead"/>
        <w:divId w:val="346293289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 дүгээр зүйл. Хуулийн зорилт</w:t>
      </w:r>
    </w:p>
    <w:p w:rsidR="00000000" w:rsidRDefault="002D5795">
      <w:pPr>
        <w:pStyle w:val="NormalWeb"/>
        <w:ind w:firstLine="720"/>
        <w:jc w:val="both"/>
        <w:divId w:val="34629328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1.1.Энэ хуулийн зорилт нь тусгай хамгаалалттай газар нутагт орчны бүсийг тогтоох, орчны бүсэд үйл ажиллагаа явуулахтай холбогдсон харилцааг зохицуулахад оршино.</w:t>
      </w:r>
    </w:p>
    <w:p w:rsidR="00000000" w:rsidRDefault="002D5795">
      <w:pPr>
        <w:pStyle w:val="msghead"/>
        <w:divId w:val="793712179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2 дугаар зүйл.Тусгай хамгаалалттай газар нутгийн орчны бүсийн тухай хууль тогтоомж</w:t>
      </w:r>
    </w:p>
    <w:p w:rsidR="00000000" w:rsidRDefault="002D5795">
      <w:pPr>
        <w:pStyle w:val="NormalWeb"/>
        <w:ind w:firstLine="720"/>
        <w:jc w:val="both"/>
        <w:divId w:val="7937121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2.1.Тусгай </w:t>
      </w:r>
      <w:r>
        <w:rPr>
          <w:rFonts w:ascii="Arial" w:hAnsi="Arial" w:cs="Arial"/>
          <w:sz w:val="20"/>
          <w:szCs w:val="20"/>
        </w:rPr>
        <w:t>хамгаалалттай газар нутгийн орчны бүсийн тухай хууль тогтоомж нь Монгол Улсын Үндсэн хууль, Тусгай хамгаалалттай газар нутгийн тухай хууль, энэ хууль болон тэдгээрт нийцүүлэн гаргасан хууль тогтоомжийн бусад актаас бүрдэнэ.</w:t>
      </w:r>
    </w:p>
    <w:p w:rsidR="00000000" w:rsidRDefault="002D5795">
      <w:pPr>
        <w:pStyle w:val="msghead"/>
        <w:divId w:val="1026949783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3 дугаар зүйл.Тусгай хамгаалалттай газар нутгийн орчны бүс</w:t>
      </w:r>
    </w:p>
    <w:p w:rsidR="00000000" w:rsidRDefault="002D5795">
      <w:pPr>
        <w:pStyle w:val="NormalWeb"/>
        <w:ind w:firstLine="720"/>
        <w:jc w:val="both"/>
        <w:divId w:val="10269497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3.1.Дархан цаазат болон байгалийн цогцолборт газарт үзүүлж байгаа буюу үзүүлж болзошгүй сөрөг нөлөөллийг багасгах, арилгах, урьдчилан сэргийлэх, тухайн газар нутгийг хамгаалахад иргэдийн оролцоог </w:t>
      </w:r>
      <w:r>
        <w:rPr>
          <w:rFonts w:ascii="Arial" w:hAnsi="Arial" w:cs="Arial"/>
          <w:sz w:val="20"/>
          <w:szCs w:val="20"/>
        </w:rPr>
        <w:t>өргөжүүлэх</w:t>
      </w:r>
      <w:r>
        <w:rPr>
          <w:rFonts w:ascii="Arial" w:hAnsi="Arial" w:cs="Arial"/>
          <w:sz w:val="20"/>
          <w:szCs w:val="20"/>
        </w:rPr>
        <w:t>, тэдний ахуй амьдралаа баталгаажуулах, байгалийн баялгийг зохистой ашиглах шаардлагыг харгалзан тогтоосон газар нутгийг орчны бүс гэнэ.</w:t>
      </w:r>
    </w:p>
    <w:p w:rsidR="00000000" w:rsidRDefault="002D5795">
      <w:pPr>
        <w:pStyle w:val="NormalWeb"/>
        <w:ind w:firstLine="720"/>
        <w:jc w:val="both"/>
        <w:divId w:val="10269497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3.2.Сум, дүүргийн иргэдийн Төлөөлөгчдийн Хурал шаардлагатай гэж үзвэл байгалийн нөөц газар, дурсгалт газарт о</w:t>
      </w:r>
      <w:r>
        <w:rPr>
          <w:rFonts w:ascii="Arial" w:hAnsi="Arial" w:cs="Arial"/>
          <w:sz w:val="20"/>
          <w:szCs w:val="20"/>
        </w:rPr>
        <w:t>рчны бүс, түүний заагийг тогтоож болно.</w:t>
      </w:r>
    </w:p>
    <w:p w:rsidR="00000000" w:rsidRDefault="002D5795">
      <w:pPr>
        <w:pStyle w:val="NormalWeb"/>
        <w:ind w:firstLine="720"/>
        <w:jc w:val="both"/>
        <w:divId w:val="10269497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З.3.Орчны бүс нь дархан цаазат газрын хилийн заагийн гадна байх бөгөөд байгалийн цогцолбор газрын хувьд түүний хилийн заагийн гадна буюу хязгаарлалтын бүстэй нь давхцсан байж болно.</w:t>
      </w:r>
    </w:p>
    <w:p w:rsidR="00000000" w:rsidRDefault="002D5795">
      <w:pPr>
        <w:pStyle w:val="msghead"/>
        <w:divId w:val="1482772734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4 дүгээр зүйл.Орчны бүсийг тогтоох</w:t>
      </w:r>
      <w:r>
        <w:rPr>
          <w:rStyle w:val="Strong"/>
          <w:rFonts w:ascii="Arial" w:hAnsi="Arial" w:cs="Arial"/>
          <w:sz w:val="20"/>
          <w:szCs w:val="20"/>
        </w:rPr>
        <w:t xml:space="preserve"> шалгуур</w:t>
      </w:r>
    </w:p>
    <w:p w:rsidR="00000000" w:rsidRDefault="002D5795">
      <w:pPr>
        <w:pStyle w:val="NormalWeb"/>
        <w:ind w:firstLine="72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4.1.Дараахь шалгуурыг харгалзан орчны бүсийг тогтооно: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4.1.1.Экологийн шалгуур: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4.1.1.а.экологи, нийгэм, эдийн засгийн онцгой ач холбогдол бүхий биологийн төрөл, зүйлийг хамгаалах шаардлагатай газар нутаг;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4.1.1.б.нэн ховор, ховор ан амьтны байрш</w:t>
      </w:r>
      <w:r>
        <w:rPr>
          <w:rFonts w:ascii="Arial" w:hAnsi="Arial" w:cs="Arial"/>
          <w:sz w:val="20"/>
          <w:szCs w:val="20"/>
        </w:rPr>
        <w:t>ил, нутагшилт, тархац, тэдгээрийн нүүдлийн зам;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4.1.1.в.нэн ховор, ховор ан амьтан нутагшаагүй боловч цаашид нутагшиж болох газар нутаг;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4.1.1.г.тусгай хамгаалалттай газрын байгаль орчинд онцгой нөлөө үзүүлэх гол, голын эх, сав газар.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4.1.2.Нийгэм, эдийн з</w:t>
      </w:r>
      <w:r>
        <w:rPr>
          <w:rFonts w:ascii="Arial" w:hAnsi="Arial" w:cs="Arial"/>
          <w:sz w:val="20"/>
          <w:szCs w:val="20"/>
        </w:rPr>
        <w:t>асгийн шалгуур: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4.1.2.а.тухайн тусгай хамгаалалттай газраас байгалийн баялаг ашиглан орлого олдог нутгийн иргэдийн амьдардаг газар нутаг;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4.1.2.б.байгаль орчныг бохирдуулах эх үүсвэрийн байршил, нөлөөллийн хүрээ;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4.1.2.в. нутгийн хүн ам, айл өрх, малын няг</w:t>
      </w:r>
      <w:r>
        <w:rPr>
          <w:rFonts w:ascii="Arial" w:hAnsi="Arial" w:cs="Arial"/>
          <w:sz w:val="20"/>
          <w:szCs w:val="20"/>
        </w:rPr>
        <w:t>трал нь бэлчээрийн даац, усны хангамжийн хүрэлцээнд сөрөг нөлөө үзүүлж байгаа газар нутаг;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4.1.2.г.нийгэм, эдийн засгийн хөгжил нь тухайн тусгай хамгаалалттай газар, түүний орчны байгаль, байгалийн нөөцөөс онцгой хамаарал бүхий суурин.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4.1.3.Бусад шалгуур: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4.1.3.а.байгалийн өвөрмөц тогтоц, онцлог бүхий газар нутаг;</w:t>
      </w:r>
    </w:p>
    <w:p w:rsidR="00000000" w:rsidRDefault="002D5795">
      <w:pPr>
        <w:pStyle w:val="NormalWeb"/>
        <w:ind w:firstLine="1440"/>
        <w:jc w:val="both"/>
        <w:divId w:val="14827727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4.1.3.б.түүх, соёлын дурсгалт зүйлс бүхий газар нутаг.</w:t>
      </w:r>
    </w:p>
    <w:p w:rsidR="00000000" w:rsidRDefault="002D5795">
      <w:pPr>
        <w:pStyle w:val="msghead"/>
        <w:divId w:val="940795795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5 дугаар зүйл.Орчны бүсийн хилийн заагийг тогтоох</w:t>
      </w:r>
    </w:p>
    <w:p w:rsidR="00000000" w:rsidRDefault="002D5795">
      <w:pPr>
        <w:pStyle w:val="NormalWeb"/>
        <w:ind w:firstLine="720"/>
        <w:jc w:val="both"/>
        <w:divId w:val="940795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5.1.Орчны бүсийг тогтоохоос өмнө тусгай хамгаалалттай газар нутгийн хамгаалалтын захиргаа</w:t>
      </w:r>
      <w:r>
        <w:rPr>
          <w:rFonts w:ascii="Arial" w:hAnsi="Arial" w:cs="Arial"/>
          <w:sz w:val="20"/>
          <w:szCs w:val="20"/>
        </w:rPr>
        <w:t xml:space="preserve"> /цаашид "хамгаалалтын захиргаа" гэх/ сум, дүүргийн Засаг даргатай хамтран тухайн асуудлаар нутгийн иргэдэд мэдээлэл өгөх, орчны бүс тогтоох зорилго, энэ талаар гарсан санал, орчны бүсийн тухай хууль тогтоомж, иргэдийн оролцооны тухай тайлбарлан танилцуулс</w:t>
      </w:r>
      <w:r>
        <w:rPr>
          <w:rFonts w:ascii="Arial" w:hAnsi="Arial" w:cs="Arial"/>
          <w:sz w:val="20"/>
          <w:szCs w:val="20"/>
        </w:rPr>
        <w:t>ан байвал зохино.</w:t>
      </w:r>
    </w:p>
    <w:p w:rsidR="00000000" w:rsidRDefault="002D5795">
      <w:pPr>
        <w:pStyle w:val="NormalWeb"/>
        <w:ind w:firstLine="720"/>
        <w:jc w:val="both"/>
        <w:divId w:val="940795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5.2.Хамгаалалтын захиргаа тухайн сум, дүүргийн Засаг даргатай хамтран орчны бүсэд хамруулах газар нутгийг энэ хуулийн 4 дүгээр зүйлд заасан шалгуурын дагуу судална.</w:t>
      </w:r>
    </w:p>
    <w:p w:rsidR="00000000" w:rsidRDefault="002D5795">
      <w:pPr>
        <w:pStyle w:val="NormalWeb"/>
        <w:ind w:firstLine="720"/>
        <w:jc w:val="both"/>
        <w:divId w:val="940795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5.3.Судалгааны бүх мэдээллийг 1:500000-аас багагүй масштабтай газрын зура</w:t>
      </w:r>
      <w:r>
        <w:rPr>
          <w:rFonts w:ascii="Arial" w:hAnsi="Arial" w:cs="Arial"/>
          <w:sz w:val="20"/>
          <w:szCs w:val="20"/>
        </w:rPr>
        <w:t>гт буулгаж түүндээ газар, ус, ан амьтан, ой, ургамлын нөөцийг тусгана.</w:t>
      </w:r>
    </w:p>
    <w:p w:rsidR="00000000" w:rsidRDefault="002D5795">
      <w:pPr>
        <w:pStyle w:val="NormalWeb"/>
        <w:ind w:firstLine="720"/>
        <w:jc w:val="both"/>
        <w:divId w:val="940795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5.4.Хамгаалалтын захиргаа энэ хуулийн 6 дугаар зүйлд заасан Зөвлөлтэй хамтран орчны бүсийн зааг тогтоох саналыг боловсруулж, сум, дүүргийн Засаг даргад уламжилна.</w:t>
      </w:r>
    </w:p>
    <w:p w:rsidR="00000000" w:rsidRDefault="002D5795">
      <w:pPr>
        <w:pStyle w:val="NormalWeb"/>
        <w:ind w:firstLine="720"/>
        <w:jc w:val="both"/>
        <w:divId w:val="940795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5.5.Сум, дүүргийн Заса</w:t>
      </w:r>
      <w:r>
        <w:rPr>
          <w:rFonts w:ascii="Arial" w:hAnsi="Arial" w:cs="Arial"/>
          <w:sz w:val="20"/>
          <w:szCs w:val="20"/>
        </w:rPr>
        <w:t>г дарга саналыг хянан үзэж иргэдийн Төлөөлөгчдийн Хурлаар хэлэлцүүлж байгаль орчны асуудал эрхэлсэн төрийн захиргааны төв байгууллагаар /цаашид “төрийн захиргааны төв байгууллага” гэх/ батлуулна.</w:t>
      </w:r>
    </w:p>
    <w:p w:rsidR="00000000" w:rsidRDefault="002D5795">
      <w:pPr>
        <w:pStyle w:val="NormalWeb"/>
        <w:ind w:firstLine="720"/>
        <w:jc w:val="both"/>
        <w:divId w:val="9407957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5.6.Энэ хуулийн З.1-д заасан орчны бүсийн хилийн заагийг тух</w:t>
      </w:r>
      <w:r>
        <w:rPr>
          <w:rFonts w:ascii="Arial" w:hAnsi="Arial" w:cs="Arial"/>
          <w:sz w:val="20"/>
          <w:szCs w:val="20"/>
        </w:rPr>
        <w:t>ай сум, дүүргийн иргэдийн Төлөөлөгчдийн Хурлын шийдвэрийг үндэслэн төрийн захиргааны төв байгууллага тухайн газрыг тусгай хамгаалалтад авснаас хойш нэг жилийн дотор тогтооно.</w:t>
      </w:r>
    </w:p>
    <w:p w:rsidR="00000000" w:rsidRDefault="002D5795">
      <w:pPr>
        <w:pStyle w:val="msghead"/>
        <w:divId w:val="642854227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6 дугаар зүйл.Орчны бүсийн зөвлөл</w:t>
      </w:r>
    </w:p>
    <w:p w:rsidR="00000000" w:rsidRDefault="002D5795">
      <w:pPr>
        <w:pStyle w:val="NormalWeb"/>
        <w:ind w:firstLine="72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6.1.Орчны бүсийн хөгжлийг зохицуулах, байгалийн баялгийг зүй зохистой ашиглах, хамгаалах, нөхөн сэргээхэд нутгийн иргэдийн оролцоог өргөжүүлэх зорилго бүхий орон тооны бус орчны бүсийн зөвлөл /цаашид “Зөвлөл” гэх/ ажиллана.</w:t>
      </w:r>
    </w:p>
    <w:p w:rsidR="00000000" w:rsidRDefault="002D5795">
      <w:pPr>
        <w:pStyle w:val="NormalWeb"/>
        <w:ind w:firstLine="72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6.2.Зөвлөл нь сондгой тооны гишү</w:t>
      </w:r>
      <w:r>
        <w:rPr>
          <w:rFonts w:ascii="Arial" w:hAnsi="Arial" w:cs="Arial"/>
          <w:sz w:val="20"/>
          <w:szCs w:val="20"/>
        </w:rPr>
        <w:t>үдтэй</w:t>
      </w:r>
      <w:r>
        <w:rPr>
          <w:rFonts w:ascii="Arial" w:hAnsi="Arial" w:cs="Arial"/>
          <w:sz w:val="20"/>
          <w:szCs w:val="20"/>
        </w:rPr>
        <w:t xml:space="preserve"> байх бөгөөд дараахь бүрэлдэхүүнтэй байна: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6.2.1.сум, дүүргийн иргэдийн Төлөөлөгчдийн Хурлын Тэргүүлэгчдээс хоёроос доошгүй төлөөлөгч;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6.2.2.нутгийн иргэдээс гурваас доошгүй төлөөлөгч;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6.2.3.хамгаалалтын захиргаанаас хоёр төлөөлөгч.</w:t>
      </w:r>
    </w:p>
    <w:p w:rsidR="00000000" w:rsidRDefault="002D5795">
      <w:pPr>
        <w:pStyle w:val="NormalWeb"/>
        <w:ind w:firstLine="72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6.З.Зөвлөлд байгал</w:t>
      </w:r>
      <w:r>
        <w:rPr>
          <w:rFonts w:ascii="Arial" w:hAnsi="Arial" w:cs="Arial"/>
          <w:sz w:val="20"/>
          <w:szCs w:val="20"/>
        </w:rPr>
        <w:t>ь орчны чиглэлээр ажилладаг төрийн бус байгууллагын төлөөлөгч ажиллаж болно.</w:t>
      </w:r>
    </w:p>
    <w:p w:rsidR="00000000" w:rsidRDefault="002D5795">
      <w:pPr>
        <w:pStyle w:val="NormalWeb"/>
        <w:ind w:firstLine="72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6.4.Зөвлөл дараахь эрх, үүрэгтэй: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6.4.1.тусгай хамгаалалттай газар нутаг, түүний орчны бүсэд хууль тогтоомжийн хэрэгжилтэд олон нийтийн хяналт тавих;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6.4.2.орчны бүсэд газар, байг</w:t>
      </w:r>
      <w:r>
        <w:rPr>
          <w:rFonts w:ascii="Arial" w:hAnsi="Arial" w:cs="Arial"/>
          <w:sz w:val="20"/>
          <w:szCs w:val="20"/>
        </w:rPr>
        <w:t>алийн бусад баялаг ашиглахтай холбогдсон асуудлаар санал, зөвлөмж, төсөл, орчны бүсийн менежментийн төлөвлөгөө боловсруулах;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6.4.3.орчны бүсэд байгаль орчны тухай хууль тогтоомж, орчны бүсийн менежментийн төлөвлөгөөг хэрэгжүүлэхэд Засаг даргад туслах, зөвл</w:t>
      </w:r>
      <w:r>
        <w:rPr>
          <w:rFonts w:ascii="Arial" w:hAnsi="Arial" w:cs="Arial"/>
          <w:sz w:val="20"/>
          <w:szCs w:val="20"/>
        </w:rPr>
        <w:t>өх</w:t>
      </w:r>
      <w:r>
        <w:rPr>
          <w:rFonts w:ascii="Arial" w:hAnsi="Arial" w:cs="Arial"/>
          <w:sz w:val="20"/>
          <w:szCs w:val="20"/>
        </w:rPr>
        <w:t>, санал тавих;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6.4.4.орчны бүсийн санд хөрөнгө төвлөрүүлэх ажлыг зохион байгуулах, хуваарилах, зарцуулалтад хяналт тавих;</w:t>
      </w:r>
    </w:p>
    <w:p w:rsidR="00000000" w:rsidRDefault="002D5795">
      <w:pPr>
        <w:pStyle w:val="NormalWeb"/>
        <w:ind w:firstLine="1440"/>
        <w:jc w:val="both"/>
        <w:divId w:val="642854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6.4.5.тусгай хамгаалалттай газар нутаг, түүний орчны бүсийн тухай хууль тогтоомжийг сурталчилах, зохих мэдээллийг олон нийтэд түгээх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2D5795">
      <w:pPr>
        <w:pStyle w:val="msghead"/>
        <w:divId w:val="1793591626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7 дугаар зүйл.Орчны бүсийн сан</w:t>
      </w:r>
    </w:p>
    <w:p w:rsidR="00000000" w:rsidRDefault="002D5795">
      <w:pPr>
        <w:pStyle w:val="NormalWeb"/>
        <w:ind w:firstLine="72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7.1.Зөвлөл нь тусгай хамгаалалттай газрын орчны бүсийг хөгжүүлэх, нутгийн иргэдийн ахуй амьдралыг дэмжих зорилго бүхий орчны бүсийн сан /цаашид "сан" гэх/-г байгуулж болно.</w:t>
      </w:r>
    </w:p>
    <w:p w:rsidR="00000000" w:rsidRDefault="002D5795">
      <w:pPr>
        <w:pStyle w:val="NormalWeb"/>
        <w:ind w:firstLine="72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7.2.Сан нь дараахь эх үүсвэрээс бүрдэнэ: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7.2.1.га</w:t>
      </w:r>
      <w:r>
        <w:rPr>
          <w:rFonts w:ascii="Arial" w:hAnsi="Arial" w:cs="Arial"/>
          <w:sz w:val="20"/>
          <w:szCs w:val="20"/>
        </w:rPr>
        <w:t>даадын болон дотоодын байгууллага, аж ахуйн нэгж, иргэдийн хандив;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7.2.2.орон нутгийн хэмжээнд хэрэгжүүлсэн төсөл, ажил, үйлчилгээний орлогын тодорхой хэсэг;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7.2.3.байгаль орчны тухай хууль тогтоомжийг зөрчсөн этгээдийн учруулсан хохирлын нөхөн төлбөрийн о</w:t>
      </w:r>
      <w:r>
        <w:rPr>
          <w:rFonts w:ascii="Arial" w:hAnsi="Arial" w:cs="Arial"/>
          <w:sz w:val="20"/>
          <w:szCs w:val="20"/>
        </w:rPr>
        <w:t>рлогын тодорхой хэсэг;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7.2.4.бусад орлого.</w:t>
      </w:r>
    </w:p>
    <w:p w:rsidR="00000000" w:rsidRDefault="002D5795">
      <w:pPr>
        <w:pStyle w:val="NormalWeb"/>
        <w:ind w:firstLine="72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7.З.Энэ хуулийн 7.2.2, 7.2.3-т заасан орлогоос санд төвлөрүүлэх хувь хэмжээг тухайн шатны иргэдийн Төлөөлөгчдийн Хурал тогтооно.</w:t>
      </w:r>
    </w:p>
    <w:p w:rsidR="00000000" w:rsidRDefault="002D5795">
      <w:pPr>
        <w:pStyle w:val="NormalWeb"/>
        <w:ind w:firstLine="72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7.4.Орчны бүсийн санг дор дурдсан арга хэмжээнд зарцуулна: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7.4.1.байгаль орчныг нөхө</w:t>
      </w:r>
      <w:r>
        <w:rPr>
          <w:rFonts w:ascii="Arial" w:hAnsi="Arial" w:cs="Arial"/>
          <w:sz w:val="20"/>
          <w:szCs w:val="20"/>
        </w:rPr>
        <w:t>н сэргээх, орчны доройтлыг бууруулах;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7.4.2.нутгийн иргэдийн ахуй амьдралыг дэмжих, жижиг үйлдвэрлэл, үйлчилгээ эрхлэхэд тусламж, дэмжлэг үзүүлэх, төсөл хэрэгжүүлэх;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7.4.3.байгаль орчинд сөрөг нөлөө үзүүлж буй үйлдвэрлэлийн техник, технологийг шинэчлэх;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>4.4.байгаль орчныг хамгаалах сургалт, сурталчилгаа явуулах, орчны бүсэд судалгаа хийх;</w:t>
      </w:r>
    </w:p>
    <w:p w:rsidR="00000000" w:rsidRDefault="002D5795">
      <w:pPr>
        <w:pStyle w:val="NormalWeb"/>
        <w:ind w:firstLine="1440"/>
        <w:jc w:val="both"/>
        <w:divId w:val="17935916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7.4.5.байгалийн аюул, гамшгаас учирсан хохирлыг арилгах.</w:t>
      </w:r>
    </w:p>
    <w:p w:rsidR="00000000" w:rsidRDefault="002D5795">
      <w:pPr>
        <w:pStyle w:val="msghead"/>
        <w:divId w:val="1839075204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8 дугаар зүйл.Орчны бүсийн менежментийн төлөвлөгөө</w:t>
      </w:r>
    </w:p>
    <w:p w:rsidR="00000000" w:rsidRDefault="002D5795">
      <w:pPr>
        <w:pStyle w:val="NormalWeb"/>
        <w:ind w:firstLine="72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8.1.Засаг дарга нь хамгаалалтын захиргаа, зөвлөлтэй хамтран энэ хуульд заасны дагуу орчны бүсийн менежментийн төлөвлөгөө боловсруулан хэрэгжүүлнэ.</w:t>
      </w:r>
    </w:p>
    <w:p w:rsidR="00000000" w:rsidRDefault="002D5795">
      <w:pPr>
        <w:pStyle w:val="NormalWeb"/>
        <w:ind w:firstLine="72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8.2.Орчны бүсийн менежментийн төлөвлөгөөнд дараахь зүйлийг тусгана:</w:t>
      </w:r>
    </w:p>
    <w:p w:rsidR="00000000" w:rsidRDefault="002D5795">
      <w:pPr>
        <w:pStyle w:val="NormalWeb"/>
        <w:ind w:firstLine="144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8.2.1.нэн ховор, ховор ан амьтан, ургамал</w:t>
      </w:r>
      <w:r>
        <w:rPr>
          <w:rFonts w:ascii="Arial" w:hAnsi="Arial" w:cs="Arial"/>
          <w:sz w:val="20"/>
          <w:szCs w:val="20"/>
        </w:rPr>
        <w:t>, түүнчлэн газар, байгалийн баялгийн хамгаалах, ашиглах чиглэл, хэрэгжүүлэх арга хэмжээ;</w:t>
      </w:r>
    </w:p>
    <w:p w:rsidR="00000000" w:rsidRDefault="002D5795">
      <w:pPr>
        <w:pStyle w:val="NormalWeb"/>
        <w:ind w:firstLine="144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8.2.2.орчны бүсэд байгалийн нөөцийг зохистой ашиглах чиглэл, хэлбэр, уг үйл ажиллагаанаас тусгай хамгаалалттай газар нутаг, орчны бүсэд үзүүлэх нөлөөллийг багасгах арг</w:t>
      </w:r>
      <w:r>
        <w:rPr>
          <w:rFonts w:ascii="Arial" w:hAnsi="Arial" w:cs="Arial"/>
          <w:sz w:val="20"/>
          <w:szCs w:val="20"/>
        </w:rPr>
        <w:t>а хэмжээ;</w:t>
      </w:r>
    </w:p>
    <w:p w:rsidR="00000000" w:rsidRDefault="002D5795">
      <w:pPr>
        <w:pStyle w:val="NormalWeb"/>
        <w:ind w:firstLine="72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8.2.З.иргэдийн ажил эрхлэлт, нийгмийн асуудал, тэдгээрийг шийдвэрлэх арга хэмжээ;</w:t>
      </w:r>
    </w:p>
    <w:p w:rsidR="00000000" w:rsidRDefault="002D5795">
      <w:pPr>
        <w:pStyle w:val="NormalWeb"/>
        <w:ind w:firstLine="144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8.2.4.орчны бүсээр дамжин өнгөрдөг ан амьтан нүүдэллэх зам, түүнийг хамгаалах арга хэмжээ;</w:t>
      </w:r>
    </w:p>
    <w:p w:rsidR="00000000" w:rsidRDefault="002D5795">
      <w:pPr>
        <w:pStyle w:val="NormalWeb"/>
        <w:ind w:firstLine="1440"/>
        <w:jc w:val="both"/>
        <w:divId w:val="1839075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8.2.5.орчны бүсийн менежментийн төлөвлөгөөг хэрэгжүүлэхэд шаардагдах зард</w:t>
      </w:r>
      <w:r>
        <w:rPr>
          <w:rFonts w:ascii="Arial" w:hAnsi="Arial" w:cs="Arial"/>
          <w:sz w:val="20"/>
          <w:szCs w:val="20"/>
        </w:rPr>
        <w:t>ал, санхүүжүүлэх эх үүсвэр.</w:t>
      </w:r>
    </w:p>
    <w:p w:rsidR="00000000" w:rsidRDefault="002D5795">
      <w:pPr>
        <w:pStyle w:val="msghead"/>
        <w:divId w:val="1146314904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9 дүгээр зүйл.Байгаль орчинд нөлөөлөх байдлын үнэлгээ</w:t>
      </w:r>
    </w:p>
    <w:p w:rsidR="00000000" w:rsidRDefault="002D5795">
      <w:pPr>
        <w:pStyle w:val="NormalWeb"/>
        <w:ind w:firstLine="720"/>
        <w:jc w:val="both"/>
        <w:divId w:val="11463149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9.1.Орчны бүсэд үйлдвэрийн зориулалтаар мод бэлтгэх, ан агнах, анчдын отог байгуулах, ашигт малтмал эрж хайх, олборлох, уул уурхайн үйлдвэрлэл явуулах, усан сан байгуулах, д</w:t>
      </w:r>
      <w:r>
        <w:rPr>
          <w:rFonts w:ascii="Arial" w:hAnsi="Arial" w:cs="Arial"/>
          <w:sz w:val="20"/>
          <w:szCs w:val="20"/>
        </w:rPr>
        <w:t>алан, хаалт барих зэрэг үйл ажиллагаа явуулах аж ахуйн нэгж, байгууллага нь зохих хууль тогтоомжийн дагуу байгаль орчинд нөлөөлөх байдлын нарийвчилсан үнэлгээ хийлгэнэ.</w:t>
      </w:r>
    </w:p>
    <w:p w:rsidR="00000000" w:rsidRDefault="002D5795">
      <w:pPr>
        <w:pStyle w:val="NormalWeb"/>
        <w:ind w:firstLine="720"/>
        <w:jc w:val="both"/>
        <w:divId w:val="11463149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9.2.Нарийвчилсан үнэлгээний дүгнэлтэд хамгаалалтын захиргааны санал, дүгнэлтийг тусгана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2D5795">
      <w:pPr>
        <w:pStyle w:val="msghead"/>
        <w:divId w:val="1250388551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10 дугаар зүйл.Орчны бүсийн тухай хууль тогтоомжийн хэрэгжилтэд тавих хяналт</w:t>
      </w:r>
    </w:p>
    <w:p w:rsidR="00000000" w:rsidRDefault="002D5795">
      <w:pPr>
        <w:pStyle w:val="NormalWeb"/>
        <w:ind w:firstLine="720"/>
        <w:jc w:val="both"/>
        <w:divId w:val="12503885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10.1.Орчны бүсэд явуулж байгаа үйл ажиллагаа, орчны бүсийн тухай хууль тогтоомжийн хэрэгжилтэд орон нутгийн өөрөө удирдах болон төрийн холбогдох байгууллага хяналт тавина.</w:t>
      </w:r>
    </w:p>
    <w:p w:rsidR="00000000" w:rsidRDefault="002D5795">
      <w:pPr>
        <w:pStyle w:val="NormalWeb"/>
        <w:ind w:firstLine="720"/>
        <w:jc w:val="both"/>
        <w:divId w:val="12503885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</w:t>
      </w:r>
      <w:r>
        <w:rPr>
          <w:rFonts w:ascii="Arial" w:hAnsi="Arial" w:cs="Arial"/>
          <w:sz w:val="20"/>
          <w:szCs w:val="20"/>
        </w:rPr>
        <w:t>.Зөвлөл нь орчны бүсэд хяналт хэрэгжүүлэхэд тухайн орон нутгийн өөрөө удирдах болон төрийн захиргааны байгууллагад туслалцаа үзүүлнэ.</w:t>
      </w:r>
    </w:p>
    <w:p w:rsidR="00000000" w:rsidRDefault="002D5795">
      <w:pPr>
        <w:pStyle w:val="NormalWeb"/>
        <w:ind w:firstLine="720"/>
        <w:jc w:val="both"/>
        <w:divId w:val="12503885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10.З.Иргэн, аж ахуйн нэгж, байгууллага орчны бүсийн хамгаалалт, байгаль орчны тухай хууль тогтоомжийн хэрэгжилтийн талаарх</w:t>
      </w:r>
      <w:r>
        <w:rPr>
          <w:rFonts w:ascii="Arial" w:hAnsi="Arial" w:cs="Arial"/>
          <w:sz w:val="20"/>
          <w:szCs w:val="20"/>
        </w:rPr>
        <w:t xml:space="preserve"> гомдлоо холбогдох хуульд заасан журмын дагуу шүүх, улсын байцаагч буюу зохих шатны Засаг даргад гаргана.</w:t>
      </w:r>
    </w:p>
    <w:p w:rsidR="00000000" w:rsidRDefault="002D5795">
      <w:pPr>
        <w:pStyle w:val="NormalWeb"/>
        <w:ind w:firstLine="720"/>
        <w:jc w:val="both"/>
        <w:divId w:val="12503885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10.4.Улсын байцаагч, Засаг даргын гаргасан шийдвэрийг эс зөвшөөрвөл гомдлоо шүүхэд гаргана.</w:t>
      </w:r>
    </w:p>
    <w:p w:rsidR="00000000" w:rsidRDefault="002D5795">
      <w:pPr>
        <w:pStyle w:val="msghead"/>
        <w:divId w:val="1474565183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11 дүгээр зүйл.Хууль зөрчигчид хүлээлгэх хариуцлага</w:t>
      </w:r>
    </w:p>
    <w:p w:rsidR="00000000" w:rsidRDefault="002D5795">
      <w:pPr>
        <w:pStyle w:val="NormalWeb"/>
        <w:ind w:firstLine="720"/>
        <w:jc w:val="both"/>
        <w:divId w:val="14745651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11.1.</w:t>
      </w:r>
      <w:r>
        <w:rPr>
          <w:rFonts w:ascii="Arial" w:hAnsi="Arial" w:cs="Arial"/>
          <w:sz w:val="20"/>
          <w:szCs w:val="20"/>
        </w:rPr>
        <w:t>Энэ хуулийг зөрчсөн хүн, хуулийн этгээдэд Эрүүгийн хууль, эсхүл Зөрчлийн тухай хуульд заасан хариуцлага хүлээлгэнэ.</w:t>
      </w:r>
    </w:p>
    <w:p w:rsidR="00000000" w:rsidRDefault="002D5795">
      <w:pPr>
        <w:pStyle w:val="NormalWeb"/>
        <w:ind w:firstLine="720"/>
        <w:jc w:val="both"/>
        <w:divId w:val="1474565183"/>
        <w:rPr>
          <w:rFonts w:ascii="Arial" w:hAnsi="Arial" w:cs="Arial"/>
          <w:sz w:val="20"/>
          <w:szCs w:val="20"/>
        </w:rPr>
      </w:pPr>
      <w:r>
        <w:rPr>
          <w:rStyle w:val="Emphasis"/>
          <w:rFonts w:ascii="Arial" w:hAnsi="Arial" w:cs="Arial"/>
          <w:sz w:val="20"/>
          <w:szCs w:val="20"/>
        </w:rPr>
        <w:t>/Энэ зүйлийг 2015 оны 12 дугаар сарын 04-ний өдрийн хуулиар өөрчлөн найруулсан/</w:t>
      </w:r>
    </w:p>
    <w:p w:rsidR="00000000" w:rsidRDefault="002D5795">
      <w:pPr>
        <w:rPr>
          <w:rFonts w:ascii="Arial" w:eastAsia="Times New Roman" w:hAnsi="Arial" w:cs="Arial"/>
          <w:sz w:val="20"/>
          <w:szCs w:val="20"/>
        </w:rPr>
      </w:pPr>
    </w:p>
    <w:p w:rsidR="00000000" w:rsidRDefault="002D5795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Style w:val="Strong"/>
          <w:rFonts w:ascii="Arial" w:eastAsia="Times New Roman" w:hAnsi="Arial" w:cs="Arial"/>
          <w:sz w:val="20"/>
          <w:szCs w:val="20"/>
        </w:rPr>
        <w:t>МОНГОЛ УЛСЫН ИХ ХУРЛЫН ДАРГА                              </w:t>
      </w:r>
      <w:r>
        <w:rPr>
          <w:rStyle w:val="Strong"/>
          <w:rFonts w:ascii="Arial" w:eastAsia="Times New Roman" w:hAnsi="Arial" w:cs="Arial"/>
          <w:sz w:val="20"/>
          <w:szCs w:val="20"/>
        </w:rPr>
        <w:t>                               Р.ГОНЧИГДОРЖ</w:t>
      </w:r>
    </w:p>
    <w:p w:rsidR="00000000" w:rsidRDefault="002D5795">
      <w:pPr>
        <w:rPr>
          <w:rFonts w:ascii="Arial" w:eastAsia="Times New Roman" w:hAnsi="Arial" w:cs="Arial"/>
          <w:sz w:val="20"/>
          <w:szCs w:val="20"/>
        </w:rPr>
      </w:pPr>
    </w:p>
    <w:p w:rsidR="002D5795" w:rsidRDefault="002D579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sectPr w:rsidR="002D57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832A1"/>
    <w:rsid w:val="002D5795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ghead">
    <w:name w:val="msg_head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A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A1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ghead">
    <w:name w:val="msg_head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A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A1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2018-03-04T22:48:00Z</dcterms:created>
  <dcterms:modified xsi:type="dcterms:W3CDTF">2018-03-04T22:48:00Z</dcterms:modified>
</cp:coreProperties>
</file>